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166D" w:rsidRPr="0025166D" w:rsidRDefault="0025166D" w:rsidP="0025166D">
      <w:pPr>
        <w:jc w:val="center"/>
        <w:rPr>
          <w:rFonts w:ascii="Verdana" w:hAnsi="Verdana"/>
          <w:b/>
          <w:szCs w:val="18"/>
        </w:rPr>
      </w:pPr>
      <w:r w:rsidRPr="0025166D">
        <w:rPr>
          <w:rFonts w:ascii="Verdana" w:hAnsi="Verdana"/>
          <w:b/>
          <w:szCs w:val="18"/>
        </w:rPr>
        <w:t>Working Time Policy</w:t>
      </w:r>
    </w:p>
    <w:p w:rsidR="0025166D" w:rsidRPr="0025166D" w:rsidRDefault="0025166D" w:rsidP="0025166D">
      <w:pPr>
        <w:jc w:val="both"/>
        <w:rPr>
          <w:rFonts w:ascii="Verdana" w:hAnsi="Verdana"/>
          <w:b/>
          <w:sz w:val="18"/>
          <w:szCs w:val="18"/>
        </w:rPr>
      </w:pPr>
    </w:p>
    <w:p w:rsidR="0025166D" w:rsidRPr="0025166D" w:rsidRDefault="0025166D" w:rsidP="0025166D">
      <w:pPr>
        <w:numPr>
          <w:ilvl w:val="0"/>
          <w:numId w:val="1"/>
        </w:numPr>
        <w:jc w:val="both"/>
        <w:rPr>
          <w:rFonts w:ascii="Verdana" w:hAnsi="Verdana"/>
          <w:b/>
          <w:sz w:val="18"/>
          <w:szCs w:val="18"/>
        </w:rPr>
      </w:pPr>
      <w:r w:rsidRPr="0025166D">
        <w:rPr>
          <w:rFonts w:ascii="Verdana" w:hAnsi="Verdana"/>
          <w:b/>
          <w:sz w:val="18"/>
          <w:szCs w:val="18"/>
        </w:rPr>
        <w:t>Introduction</w:t>
      </w:r>
    </w:p>
    <w:p w:rsidR="0025166D" w:rsidRPr="0025166D" w:rsidRDefault="0025166D" w:rsidP="0025166D">
      <w:pPr>
        <w:ind w:firstLine="360"/>
        <w:jc w:val="both"/>
        <w:rPr>
          <w:rFonts w:ascii="Verdana" w:hAnsi="Verdana"/>
          <w:b/>
          <w:sz w:val="18"/>
          <w:szCs w:val="18"/>
        </w:rPr>
      </w:pPr>
      <w:r w:rsidRPr="0025166D">
        <w:rPr>
          <w:rFonts w:ascii="Verdana" w:hAnsi="Verdana"/>
          <w:b/>
          <w:sz w:val="18"/>
          <w:szCs w:val="18"/>
        </w:rPr>
        <w:t>1.1 Purpose</w:t>
      </w:r>
    </w:p>
    <w:p w:rsidR="0025166D" w:rsidRPr="0025166D" w:rsidRDefault="0025166D" w:rsidP="0025166D">
      <w:pPr>
        <w:ind w:left="360"/>
        <w:jc w:val="both"/>
        <w:rPr>
          <w:rFonts w:ascii="Verdana" w:hAnsi="Verdana"/>
          <w:sz w:val="18"/>
          <w:szCs w:val="18"/>
        </w:rPr>
      </w:pPr>
      <w:r w:rsidRPr="0025166D">
        <w:rPr>
          <w:rFonts w:ascii="Verdana" w:hAnsi="Verdana"/>
          <w:sz w:val="18"/>
          <w:szCs w:val="18"/>
        </w:rPr>
        <w:t xml:space="preserve">To provide a policy and associated procedures for employees regarding information about hours of work, timekeeping and breaks during the work day. To ensure that working hours are not excessive </w:t>
      </w:r>
      <w:proofErr w:type="gramStart"/>
      <w:r w:rsidRPr="0025166D">
        <w:rPr>
          <w:rFonts w:ascii="Verdana" w:hAnsi="Verdana"/>
          <w:sz w:val="18"/>
          <w:szCs w:val="18"/>
        </w:rPr>
        <w:t>in order to</w:t>
      </w:r>
      <w:proofErr w:type="gramEnd"/>
      <w:r w:rsidRPr="0025166D">
        <w:rPr>
          <w:rFonts w:ascii="Verdana" w:hAnsi="Verdana"/>
          <w:sz w:val="18"/>
          <w:szCs w:val="18"/>
        </w:rPr>
        <w:t xml:space="preserve"> protect employees’ health and wellbeing.</w:t>
      </w:r>
    </w:p>
    <w:p w:rsidR="0025166D" w:rsidRPr="0025166D" w:rsidRDefault="0025166D" w:rsidP="0025166D">
      <w:pPr>
        <w:ind w:firstLine="360"/>
        <w:jc w:val="both"/>
        <w:rPr>
          <w:rFonts w:ascii="Verdana" w:hAnsi="Verdana"/>
          <w:b/>
          <w:sz w:val="18"/>
          <w:szCs w:val="18"/>
        </w:rPr>
      </w:pPr>
      <w:r w:rsidRPr="0025166D">
        <w:rPr>
          <w:rFonts w:ascii="Verdana" w:hAnsi="Verdana"/>
          <w:b/>
          <w:sz w:val="18"/>
          <w:szCs w:val="18"/>
        </w:rPr>
        <w:t>1.2 Scope</w:t>
      </w:r>
    </w:p>
    <w:p w:rsidR="0025166D" w:rsidRPr="0025166D" w:rsidRDefault="0025166D" w:rsidP="0025166D">
      <w:pPr>
        <w:ind w:firstLine="360"/>
        <w:jc w:val="both"/>
        <w:rPr>
          <w:rFonts w:ascii="Verdana" w:hAnsi="Verdana"/>
          <w:sz w:val="18"/>
          <w:szCs w:val="18"/>
        </w:rPr>
      </w:pPr>
      <w:r w:rsidRPr="0025166D">
        <w:rPr>
          <w:rFonts w:ascii="Verdana" w:hAnsi="Verdana"/>
          <w:sz w:val="18"/>
          <w:szCs w:val="18"/>
        </w:rPr>
        <w:t>All employees on a permanent, fixed term or temporary contract of employment.</w:t>
      </w:r>
    </w:p>
    <w:p w:rsidR="0025166D" w:rsidRPr="0025166D" w:rsidRDefault="0025166D" w:rsidP="0025166D">
      <w:pPr>
        <w:jc w:val="both"/>
        <w:rPr>
          <w:rFonts w:ascii="Verdana" w:hAnsi="Verdana"/>
          <w:sz w:val="18"/>
          <w:szCs w:val="18"/>
        </w:rPr>
      </w:pPr>
    </w:p>
    <w:p w:rsidR="0025166D" w:rsidRPr="0025166D" w:rsidRDefault="0025166D" w:rsidP="0025166D">
      <w:pPr>
        <w:numPr>
          <w:ilvl w:val="0"/>
          <w:numId w:val="1"/>
        </w:numPr>
        <w:jc w:val="both"/>
        <w:rPr>
          <w:rFonts w:ascii="Verdana" w:hAnsi="Verdana"/>
          <w:b/>
          <w:sz w:val="18"/>
          <w:szCs w:val="18"/>
        </w:rPr>
      </w:pPr>
      <w:r w:rsidRPr="0025166D">
        <w:rPr>
          <w:rFonts w:ascii="Verdana" w:hAnsi="Verdana"/>
          <w:b/>
          <w:sz w:val="18"/>
          <w:szCs w:val="18"/>
        </w:rPr>
        <w:t>Policy statement</w:t>
      </w:r>
    </w:p>
    <w:p w:rsidR="0025166D" w:rsidRPr="0025166D" w:rsidRDefault="0025166D" w:rsidP="0025166D">
      <w:pPr>
        <w:jc w:val="both"/>
        <w:rPr>
          <w:rFonts w:ascii="Verdana" w:hAnsi="Verdana"/>
          <w:sz w:val="18"/>
          <w:szCs w:val="18"/>
        </w:rPr>
      </w:pPr>
      <w:r w:rsidRPr="0025166D">
        <w:rPr>
          <w:rFonts w:ascii="Verdana" w:hAnsi="Verdana"/>
          <w:sz w:val="18"/>
          <w:szCs w:val="18"/>
        </w:rPr>
        <w:t>Monsoon Accessorize recognise that, from time to time, individuals may have questions or concerns relating to hours of work, timekeeping and breaks during the working day.</w:t>
      </w:r>
    </w:p>
    <w:p w:rsidR="0025166D" w:rsidRDefault="0025166D" w:rsidP="0025166D">
      <w:pPr>
        <w:jc w:val="both"/>
        <w:rPr>
          <w:rFonts w:ascii="Verdana" w:hAnsi="Verdana"/>
          <w:sz w:val="18"/>
          <w:szCs w:val="18"/>
        </w:rPr>
      </w:pPr>
      <w:r w:rsidRPr="0025166D">
        <w:rPr>
          <w:rFonts w:ascii="Verdana" w:hAnsi="Verdana"/>
          <w:sz w:val="18"/>
          <w:szCs w:val="18"/>
        </w:rPr>
        <w:t xml:space="preserve">The company fully supports the requirements of the Working Time Regulations. It recognises that by the nature of our business there will be occasions where employees will be required to work over and above their normal hours. </w:t>
      </w:r>
    </w:p>
    <w:p w:rsidR="0025166D" w:rsidRPr="0025166D" w:rsidRDefault="0025166D" w:rsidP="0025166D">
      <w:pPr>
        <w:jc w:val="both"/>
        <w:rPr>
          <w:rFonts w:ascii="Verdana" w:hAnsi="Verdana"/>
          <w:sz w:val="18"/>
          <w:szCs w:val="18"/>
        </w:rPr>
      </w:pPr>
      <w:r w:rsidRPr="0025166D">
        <w:rPr>
          <w:rFonts w:ascii="Verdana" w:hAnsi="Verdana"/>
          <w:sz w:val="18"/>
          <w:szCs w:val="18"/>
        </w:rPr>
        <w:t xml:space="preserve">It is the company’s policy to encourage open discussion to ensure that questions and problems can be resolved as quickly as possible. </w:t>
      </w:r>
    </w:p>
    <w:p w:rsidR="0025166D" w:rsidRPr="0025166D" w:rsidRDefault="0025166D" w:rsidP="0025166D">
      <w:pPr>
        <w:jc w:val="both"/>
        <w:rPr>
          <w:rFonts w:ascii="Verdana" w:hAnsi="Verdana"/>
          <w:sz w:val="18"/>
          <w:szCs w:val="18"/>
        </w:rPr>
      </w:pPr>
      <w:r w:rsidRPr="0025166D">
        <w:rPr>
          <w:rFonts w:ascii="Verdana" w:hAnsi="Verdana"/>
          <w:sz w:val="18"/>
          <w:szCs w:val="18"/>
        </w:rPr>
        <w:t>The Employee Handbook has been created to provide further details on the relevant procedures to be followed in relation to this policy, and individuals should refer to the Employee Handbook available on the Intranet or hard copy in branch.</w:t>
      </w:r>
    </w:p>
    <w:p w:rsidR="0025166D" w:rsidRPr="0025166D" w:rsidRDefault="0025166D" w:rsidP="0025166D">
      <w:pPr>
        <w:jc w:val="both"/>
        <w:rPr>
          <w:rFonts w:ascii="Verdana" w:hAnsi="Verdana"/>
          <w:sz w:val="18"/>
          <w:szCs w:val="18"/>
        </w:rPr>
      </w:pPr>
      <w:r w:rsidRPr="0025166D">
        <w:rPr>
          <w:rFonts w:ascii="Verdana" w:hAnsi="Verdana"/>
          <w:sz w:val="18"/>
          <w:szCs w:val="18"/>
        </w:rPr>
        <w:t>The company expects all managers and employees to take personal responsibility for adherence to this policy.</w:t>
      </w:r>
    </w:p>
    <w:p w:rsidR="0025166D" w:rsidRDefault="0025166D" w:rsidP="0025166D">
      <w:pPr>
        <w:jc w:val="both"/>
        <w:rPr>
          <w:rFonts w:ascii="Verdana" w:hAnsi="Verdana"/>
          <w:sz w:val="18"/>
          <w:szCs w:val="18"/>
        </w:rPr>
      </w:pPr>
      <w:r w:rsidRPr="0025166D">
        <w:rPr>
          <w:rFonts w:ascii="Verdana" w:hAnsi="Verdana"/>
          <w:sz w:val="18"/>
          <w:szCs w:val="18"/>
        </w:rPr>
        <w:t>If further clarification is required, individuals should contact the HR department.</w:t>
      </w:r>
    </w:p>
    <w:p w:rsidR="0025166D" w:rsidRPr="0025166D" w:rsidRDefault="0025166D" w:rsidP="0025166D">
      <w:pPr>
        <w:jc w:val="both"/>
        <w:rPr>
          <w:rFonts w:ascii="Verdana" w:hAnsi="Verdana"/>
          <w:sz w:val="18"/>
          <w:szCs w:val="18"/>
        </w:rPr>
      </w:pPr>
    </w:p>
    <w:p w:rsidR="0025166D" w:rsidRPr="0025166D" w:rsidRDefault="0025166D" w:rsidP="0025166D">
      <w:pPr>
        <w:numPr>
          <w:ilvl w:val="0"/>
          <w:numId w:val="1"/>
        </w:numPr>
        <w:jc w:val="both"/>
        <w:rPr>
          <w:rFonts w:ascii="Verdana" w:hAnsi="Verdana"/>
          <w:b/>
          <w:sz w:val="18"/>
          <w:szCs w:val="18"/>
        </w:rPr>
      </w:pPr>
      <w:r w:rsidRPr="0025166D">
        <w:rPr>
          <w:rFonts w:ascii="Verdana" w:hAnsi="Verdana"/>
          <w:b/>
          <w:sz w:val="18"/>
          <w:szCs w:val="18"/>
        </w:rPr>
        <w:t>Related policies and documentation</w:t>
      </w:r>
    </w:p>
    <w:p w:rsidR="0025166D" w:rsidRPr="0025166D" w:rsidRDefault="0025166D" w:rsidP="0025166D">
      <w:pPr>
        <w:pStyle w:val="NoSpacing"/>
        <w:numPr>
          <w:ilvl w:val="0"/>
          <w:numId w:val="3"/>
        </w:numPr>
        <w:jc w:val="both"/>
      </w:pPr>
      <w:r w:rsidRPr="0025166D">
        <w:t>Employee Handbook</w:t>
      </w:r>
    </w:p>
    <w:p w:rsidR="0025166D" w:rsidRPr="0025166D" w:rsidRDefault="0025166D" w:rsidP="0025166D">
      <w:pPr>
        <w:pStyle w:val="NoSpacing"/>
        <w:numPr>
          <w:ilvl w:val="0"/>
          <w:numId w:val="3"/>
        </w:numPr>
        <w:jc w:val="both"/>
      </w:pPr>
      <w:r w:rsidRPr="0025166D">
        <w:t xml:space="preserve">Terms and Conditions of Employment </w:t>
      </w:r>
    </w:p>
    <w:p w:rsidR="0025166D" w:rsidRPr="0025166D" w:rsidRDefault="0025166D" w:rsidP="0025166D">
      <w:pPr>
        <w:jc w:val="both"/>
        <w:rPr>
          <w:rFonts w:ascii="Verdana" w:hAnsi="Verdana"/>
          <w:sz w:val="18"/>
          <w:szCs w:val="18"/>
        </w:rPr>
      </w:pPr>
    </w:p>
    <w:p w:rsidR="0025166D" w:rsidRPr="0025166D" w:rsidRDefault="0025166D" w:rsidP="0025166D">
      <w:pPr>
        <w:numPr>
          <w:ilvl w:val="0"/>
          <w:numId w:val="1"/>
        </w:numPr>
        <w:jc w:val="both"/>
        <w:rPr>
          <w:rFonts w:ascii="Verdana" w:hAnsi="Verdana"/>
          <w:b/>
          <w:sz w:val="18"/>
          <w:szCs w:val="18"/>
        </w:rPr>
      </w:pPr>
      <w:r w:rsidRPr="0025166D">
        <w:rPr>
          <w:rFonts w:ascii="Verdana" w:hAnsi="Verdana"/>
          <w:b/>
          <w:sz w:val="18"/>
          <w:szCs w:val="18"/>
        </w:rPr>
        <w:t>Responsibility</w:t>
      </w:r>
    </w:p>
    <w:p w:rsidR="0025166D" w:rsidRPr="0025166D" w:rsidRDefault="0025166D" w:rsidP="0025166D">
      <w:pPr>
        <w:jc w:val="both"/>
        <w:rPr>
          <w:rFonts w:ascii="Verdana" w:hAnsi="Verdana"/>
          <w:sz w:val="18"/>
          <w:szCs w:val="18"/>
        </w:rPr>
      </w:pPr>
      <w:r w:rsidRPr="0025166D">
        <w:rPr>
          <w:rFonts w:ascii="Verdana" w:hAnsi="Verdana"/>
          <w:sz w:val="18"/>
          <w:szCs w:val="18"/>
        </w:rPr>
        <w:t>Any queries on the application or interpretation of this policy must be discussed with the HR department prior to any action being taken.</w:t>
      </w:r>
    </w:p>
    <w:p w:rsidR="0025166D" w:rsidRPr="0025166D" w:rsidRDefault="0025166D" w:rsidP="0025166D">
      <w:pPr>
        <w:jc w:val="both"/>
        <w:rPr>
          <w:rFonts w:ascii="Verdana" w:hAnsi="Verdana"/>
          <w:sz w:val="18"/>
          <w:szCs w:val="18"/>
        </w:rPr>
      </w:pPr>
      <w:r w:rsidRPr="0025166D">
        <w:rPr>
          <w:rFonts w:ascii="Verdana" w:hAnsi="Verdana"/>
          <w:sz w:val="18"/>
          <w:szCs w:val="18"/>
        </w:rPr>
        <w:t>The HR department has the responsibility for ensuring the maintenance, regular review and updating of this policy, the Working Family Guide and the Employee Handbook.</w:t>
      </w:r>
    </w:p>
    <w:p w:rsidR="0025166D" w:rsidRPr="0025166D" w:rsidRDefault="0025166D" w:rsidP="0025166D">
      <w:pPr>
        <w:jc w:val="both"/>
        <w:rPr>
          <w:rFonts w:ascii="Verdana" w:hAnsi="Verdana"/>
          <w:sz w:val="18"/>
          <w:szCs w:val="18"/>
        </w:rPr>
      </w:pPr>
      <w:r w:rsidRPr="0025166D">
        <w:rPr>
          <w:rFonts w:ascii="Verdana" w:hAnsi="Verdana"/>
          <w:sz w:val="18"/>
          <w:szCs w:val="18"/>
        </w:rPr>
        <w:t>Revisions, amendments or alterations to the policy can only be implemented following consideration and approval by the HR Director.</w:t>
      </w:r>
    </w:p>
    <w:p w:rsidR="0025166D" w:rsidRPr="0025166D" w:rsidRDefault="0025166D" w:rsidP="0025166D">
      <w:pPr>
        <w:jc w:val="both"/>
        <w:rPr>
          <w:rFonts w:ascii="Verdana" w:hAnsi="Verdana"/>
          <w:sz w:val="18"/>
          <w:szCs w:val="18"/>
        </w:rPr>
      </w:pPr>
    </w:p>
    <w:p w:rsidR="0025166D" w:rsidRPr="0025166D" w:rsidRDefault="0025166D" w:rsidP="0025166D">
      <w:pPr>
        <w:jc w:val="both"/>
        <w:rPr>
          <w:rFonts w:ascii="Verdana" w:hAnsi="Verdana"/>
          <w:sz w:val="18"/>
          <w:szCs w:val="18"/>
        </w:rPr>
      </w:pPr>
    </w:p>
    <w:p w:rsidR="0025166D" w:rsidRPr="0025166D" w:rsidRDefault="0025166D" w:rsidP="0025166D">
      <w:pPr>
        <w:jc w:val="both"/>
        <w:rPr>
          <w:rFonts w:ascii="Verdana" w:hAnsi="Verdana"/>
          <w:sz w:val="18"/>
          <w:szCs w:val="18"/>
        </w:rPr>
      </w:pPr>
    </w:p>
    <w:sectPr w:rsidR="0025166D" w:rsidRPr="0025166D">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5140" w:rsidRDefault="00E85140" w:rsidP="0025166D">
      <w:pPr>
        <w:spacing w:after="0" w:line="240" w:lineRule="auto"/>
      </w:pPr>
      <w:r>
        <w:separator/>
      </w:r>
    </w:p>
  </w:endnote>
  <w:endnote w:type="continuationSeparator" w:id="0">
    <w:p w:rsidR="00E85140" w:rsidRDefault="00E85140" w:rsidP="002516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166D" w:rsidRPr="0025166D" w:rsidRDefault="0025166D">
    <w:pPr>
      <w:pStyle w:val="Footer"/>
      <w:rPr>
        <w:b/>
      </w:rPr>
    </w:pPr>
    <w:r>
      <w:rPr>
        <w:b/>
      </w:rPr>
      <w:t>January 2009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5140" w:rsidRDefault="00E85140" w:rsidP="0025166D">
      <w:pPr>
        <w:spacing w:after="0" w:line="240" w:lineRule="auto"/>
      </w:pPr>
      <w:r>
        <w:separator/>
      </w:r>
    </w:p>
  </w:footnote>
  <w:footnote w:type="continuationSeparator" w:id="0">
    <w:p w:rsidR="00E85140" w:rsidRDefault="00E85140" w:rsidP="002516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166D" w:rsidRDefault="0025166D">
    <w:pPr>
      <w:pStyle w:val="Header"/>
    </w:pPr>
    <w:r>
      <w:rPr>
        <w:noProof/>
      </w:rPr>
      <w:drawing>
        <wp:inline distT="0" distB="0" distL="0" distR="0" wp14:anchorId="1DE558BF" wp14:editId="028A4E8A">
          <wp:extent cx="5569585" cy="3702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570879" cy="37032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AA1138"/>
    <w:multiLevelType w:val="hybridMultilevel"/>
    <w:tmpl w:val="952E832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61427EAE"/>
    <w:multiLevelType w:val="multilevel"/>
    <w:tmpl w:val="6BBC7ED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440"/>
        </w:tabs>
        <w:ind w:left="1440" w:hanging="144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2160"/>
        </w:tabs>
        <w:ind w:left="2160" w:hanging="2160"/>
      </w:pPr>
      <w:rPr>
        <w:rFonts w:hint="default"/>
      </w:rPr>
    </w:lvl>
    <w:lvl w:ilvl="7">
      <w:start w:val="1"/>
      <w:numFmt w:val="decimal"/>
      <w:isLgl/>
      <w:lvlText w:val="%1.%2.%3.%4.%5.%6.%7.%8"/>
      <w:lvlJc w:val="left"/>
      <w:pPr>
        <w:tabs>
          <w:tab w:val="num" w:pos="2520"/>
        </w:tabs>
        <w:ind w:left="2520" w:hanging="2520"/>
      </w:pPr>
      <w:rPr>
        <w:rFonts w:hint="default"/>
      </w:rPr>
    </w:lvl>
    <w:lvl w:ilvl="8">
      <w:start w:val="1"/>
      <w:numFmt w:val="decimal"/>
      <w:isLgl/>
      <w:lvlText w:val="%1.%2.%3.%4.%5.%6.%7.%8.%9"/>
      <w:lvlJc w:val="left"/>
      <w:pPr>
        <w:tabs>
          <w:tab w:val="num" w:pos="2880"/>
        </w:tabs>
        <w:ind w:left="2880" w:hanging="2880"/>
      </w:pPr>
      <w:rPr>
        <w:rFonts w:hint="default"/>
      </w:rPr>
    </w:lvl>
  </w:abstractNum>
  <w:abstractNum w:abstractNumId="2" w15:restartNumberingAfterBreak="0">
    <w:nsid w:val="7C6C114B"/>
    <w:multiLevelType w:val="hybridMultilevel"/>
    <w:tmpl w:val="3E862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66D"/>
    <w:rsid w:val="0025166D"/>
    <w:rsid w:val="00380355"/>
    <w:rsid w:val="00E851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B611C9-A5A9-4E2D-8016-A20ABF3F7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5166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25166D"/>
    <w:rPr>
      <w:sz w:val="16"/>
      <w:szCs w:val="16"/>
    </w:rPr>
  </w:style>
  <w:style w:type="paragraph" w:styleId="CommentText">
    <w:name w:val="annotation text"/>
    <w:basedOn w:val="Normal"/>
    <w:link w:val="CommentTextChar"/>
    <w:semiHidden/>
    <w:rsid w:val="0025166D"/>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semiHidden/>
    <w:rsid w:val="0025166D"/>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2516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166D"/>
    <w:rPr>
      <w:rFonts w:ascii="Segoe UI" w:hAnsi="Segoe UI" w:cs="Segoe UI"/>
      <w:sz w:val="18"/>
      <w:szCs w:val="18"/>
    </w:rPr>
  </w:style>
  <w:style w:type="paragraph" w:styleId="Header">
    <w:name w:val="header"/>
    <w:basedOn w:val="Normal"/>
    <w:link w:val="HeaderChar"/>
    <w:uiPriority w:val="99"/>
    <w:unhideWhenUsed/>
    <w:rsid w:val="002516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166D"/>
  </w:style>
  <w:style w:type="paragraph" w:styleId="Footer">
    <w:name w:val="footer"/>
    <w:basedOn w:val="Normal"/>
    <w:link w:val="FooterChar"/>
    <w:uiPriority w:val="99"/>
    <w:unhideWhenUsed/>
    <w:rsid w:val="002516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166D"/>
  </w:style>
  <w:style w:type="paragraph" w:styleId="NoSpacing">
    <w:name w:val="No Spacing"/>
    <w:uiPriority w:val="1"/>
    <w:qFormat/>
    <w:rsid w:val="002516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285</Words>
  <Characters>1627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Wakelin-Doak</dc:creator>
  <cp:keywords/>
  <dc:description/>
  <cp:lastModifiedBy>Danielle Wakelin-Doak</cp:lastModifiedBy>
  <cp:revision>1</cp:revision>
  <dcterms:created xsi:type="dcterms:W3CDTF">2019-02-20T15:35:00Z</dcterms:created>
  <dcterms:modified xsi:type="dcterms:W3CDTF">2019-02-20T15:40:00Z</dcterms:modified>
</cp:coreProperties>
</file>